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drawings/drawing2.xml" ContentType="application/vnd.openxmlformats-officedocument.drawingml.chartshapes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Информационно-статистический обзор</w:t>
      </w:r>
      <w:r/>
    </w:p>
    <w:p>
      <w:pPr>
        <w:ind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</w:rPr>
        <w:t xml:space="preserve">обращений граждан, направленных в </w:t>
      </w:r>
      <w:r>
        <w:rPr>
          <w:rFonts w:ascii="Arial" w:hAnsi="Arial" w:cs="Arial"/>
          <w:b/>
        </w:rPr>
        <w:t xml:space="preserve">Управление</w:t>
      </w:r>
      <w:r>
        <w:rPr>
          <w:rFonts w:ascii="Arial" w:hAnsi="Arial" w:cs="Arial"/>
          <w:b/>
        </w:rPr>
        <w:t xml:space="preserve"> Федеральной службы государственной статистики по Красноярскому краю</w:t>
      </w:r>
      <w:r>
        <w:rPr>
          <w:rFonts w:ascii="Arial" w:hAnsi="Arial" w:cs="Arial"/>
          <w:b/>
        </w:rPr>
        <w:t xml:space="preserve">, Республике Хакасия и Республике Тыва (Красноярскстат)</w:t>
      </w:r>
      <w:r/>
    </w:p>
    <w:p>
      <w:pPr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 </w:t>
      </w:r>
      <w:r>
        <w:rPr>
          <w:rFonts w:ascii="Arial" w:hAnsi="Arial" w:cs="Arial"/>
          <w:b/>
          <w:lang w:val="en-US"/>
        </w:rPr>
        <w:t xml:space="preserve">I</w:t>
      </w:r>
      <w:r>
        <w:rPr>
          <w:rFonts w:ascii="Arial" w:hAnsi="Arial" w:cs="Arial"/>
          <w:b/>
        </w:rPr>
        <w:t xml:space="preserve"> квартале 202</w:t>
      </w:r>
      <w:r>
        <w:rPr>
          <w:rFonts w:ascii="Arial" w:hAnsi="Arial" w:cs="Arial"/>
          <w:b/>
        </w:rPr>
        <w:t xml:space="preserve">3</w:t>
      </w:r>
      <w:r>
        <w:rPr>
          <w:rFonts w:ascii="Arial" w:hAnsi="Arial" w:cs="Arial"/>
          <w:b/>
        </w:rPr>
        <w:t xml:space="preserve"> года</w:t>
      </w:r>
      <w:r/>
    </w:p>
    <w:p>
      <w:pPr>
        <w:ind w:firstLine="0"/>
        <w:jc w:val="center"/>
      </w:pPr>
      <w:r/>
      <w:r/>
    </w:p>
    <w:p>
      <w:pPr>
        <w:spacing w:line="276" w:lineRule="auto"/>
        <w:widowControl w:val="off"/>
      </w:pPr>
      <w:r>
        <w:t xml:space="preserve">В</w:t>
      </w:r>
      <w:r>
        <w:t xml:space="preserve"> </w:t>
      </w:r>
      <w:r>
        <w:t xml:space="preserve">Управление Федеральной службы государственной статистики </w:t>
      </w:r>
      <w:r>
        <w:br/>
        <w:t xml:space="preserve">по Красноярскому краю, Республике Хакасия и Республике Тыва в </w:t>
      </w:r>
      <w:r>
        <w:rPr>
          <w:lang w:val="en-US"/>
        </w:rPr>
        <w:t xml:space="preserve">I</w:t>
      </w:r>
      <w:r>
        <w:t xml:space="preserve"> квартале 202</w:t>
      </w:r>
      <w:r>
        <w:t xml:space="preserve">3</w:t>
      </w:r>
      <w:r>
        <w:t xml:space="preserve"> года </w:t>
      </w:r>
      <w:r>
        <w:t xml:space="preserve">поступило </w:t>
      </w:r>
      <w:r>
        <w:t xml:space="preserve">1</w:t>
      </w:r>
      <w:r>
        <w:t xml:space="preserve">07</w:t>
      </w:r>
      <w:r>
        <w:t xml:space="preserve"> </w:t>
      </w:r>
      <w:r>
        <w:t xml:space="preserve">обращени</w:t>
      </w:r>
      <w:r>
        <w:t xml:space="preserve">й</w:t>
      </w:r>
      <w:r>
        <w:t xml:space="preserve"> граждан</w:t>
      </w:r>
      <w:r>
        <w:t xml:space="preserve"> (далее – обращени</w:t>
      </w:r>
      <w:r>
        <w:t xml:space="preserve">е</w:t>
      </w:r>
      <w:r>
        <w:t xml:space="preserve">)</w:t>
      </w:r>
      <w:r>
        <w:t xml:space="preserve">, что на</w:t>
      </w:r>
      <w:r>
        <w:t xml:space="preserve"> </w:t>
      </w:r>
      <w:r>
        <w:t xml:space="preserve">1</w:t>
      </w:r>
      <w:r>
        <w:t xml:space="preserve">3</w:t>
      </w:r>
      <w:r>
        <w:t xml:space="preserve"> </w:t>
      </w:r>
      <w:r>
        <w:t xml:space="preserve">% </w:t>
      </w:r>
      <w:r>
        <w:t xml:space="preserve">меньше</w:t>
      </w:r>
      <w:r>
        <w:t xml:space="preserve">,</w:t>
      </w:r>
      <w:r>
        <w:t xml:space="preserve"> чем</w:t>
      </w:r>
      <w:r>
        <w:t xml:space="preserve"> в </w:t>
      </w:r>
      <w:r>
        <w:rPr>
          <w:lang w:val="en-US"/>
        </w:rPr>
        <w:t xml:space="preserve">I</w:t>
      </w:r>
      <w:r>
        <w:t xml:space="preserve"> квартале 20</w:t>
      </w:r>
      <w:r>
        <w:t xml:space="preserve">2</w:t>
      </w:r>
      <w:r>
        <w:t xml:space="preserve">2</w:t>
      </w:r>
      <w:r>
        <w:t xml:space="preserve"> года</w:t>
      </w:r>
      <w:r>
        <w:t xml:space="preserve">. </w:t>
      </w:r>
      <w:r/>
    </w:p>
    <w:p>
      <w:r>
        <w:t xml:space="preserve">Из них </w:t>
      </w:r>
      <w:r>
        <w:t xml:space="preserve">103</w:t>
      </w:r>
      <w:r>
        <w:t xml:space="preserve"> </w:t>
      </w:r>
      <w:r>
        <w:t xml:space="preserve">обращени</w:t>
      </w:r>
      <w:r>
        <w:t xml:space="preserve">я</w:t>
      </w:r>
      <w:r>
        <w:t xml:space="preserve"> </w:t>
      </w:r>
      <w:r>
        <w:t xml:space="preserve">(</w:t>
      </w:r>
      <w:r>
        <w:t xml:space="preserve">96</w:t>
      </w:r>
      <w:r>
        <w:t xml:space="preserve"> %) поступило из Красноярского края, </w:t>
      </w:r>
      <w:r>
        <w:t xml:space="preserve">3</w:t>
      </w:r>
      <w:r>
        <w:t xml:space="preserve"> (</w:t>
      </w:r>
      <w:r>
        <w:t xml:space="preserve">3</w:t>
      </w:r>
      <w:r>
        <w:t xml:space="preserve"> %)  − из Республики Хакасия, </w:t>
      </w:r>
      <w:r>
        <w:t xml:space="preserve">1</w:t>
      </w:r>
      <w:r>
        <w:t xml:space="preserve"> (</w:t>
      </w:r>
      <w:r>
        <w:t xml:space="preserve">1</w:t>
      </w:r>
      <w:r>
        <w:t xml:space="preserve"> </w:t>
      </w:r>
      <w:r>
        <w:t xml:space="preserve">%) − из Республики Тыва.</w:t>
      </w:r>
      <w:r/>
    </w:p>
    <w:p>
      <w:pPr>
        <w:rPr>
          <w:i/>
        </w:rPr>
      </w:pPr>
      <w:r>
        <w:rPr>
          <w:i/>
        </w:rPr>
        <w:t xml:space="preserve">По месяцам </w:t>
      </w:r>
      <w:r>
        <w:rPr>
          <w:i/>
          <w:lang w:val="en-US"/>
        </w:rPr>
        <w:t xml:space="preserve">I</w:t>
      </w:r>
      <w:r>
        <w:rPr>
          <w:i/>
        </w:rPr>
        <w:t xml:space="preserve"> квартала 202</w:t>
      </w:r>
      <w:r>
        <w:rPr>
          <w:i/>
        </w:rPr>
        <w:t xml:space="preserve">3</w:t>
      </w:r>
      <w:r>
        <w:rPr>
          <w:i/>
        </w:rPr>
        <w:t xml:space="preserve"> года поступило:</w:t>
      </w:r>
      <w:r/>
    </w:p>
    <w:p>
      <w:r>
        <w:t xml:space="preserve">в </w:t>
      </w:r>
      <w:r>
        <w:t xml:space="preserve">январе</w:t>
      </w:r>
      <w:r>
        <w:t xml:space="preserve"> – </w:t>
      </w:r>
      <w:r>
        <w:t xml:space="preserve">9</w:t>
      </w:r>
      <w:r>
        <w:t xml:space="preserve"> (</w:t>
      </w:r>
      <w:r>
        <w:t xml:space="preserve">9</w:t>
      </w:r>
      <w:r>
        <w:t xml:space="preserve"> %), в </w:t>
      </w:r>
      <w:r>
        <w:t xml:space="preserve">феврале</w:t>
      </w:r>
      <w:r>
        <w:t xml:space="preserve"> – </w:t>
      </w:r>
      <w:r>
        <w:t xml:space="preserve">43</w:t>
      </w:r>
      <w:r>
        <w:t xml:space="preserve"> (</w:t>
      </w:r>
      <w:r>
        <w:t xml:space="preserve">40</w:t>
      </w:r>
      <w:r>
        <w:t xml:space="preserve"> %), в </w:t>
      </w:r>
      <w:r>
        <w:t xml:space="preserve">марте</w:t>
      </w:r>
      <w:r>
        <w:t xml:space="preserve"> –</w:t>
      </w:r>
      <w:r>
        <w:t xml:space="preserve"> </w:t>
      </w:r>
      <w:r>
        <w:t xml:space="preserve">55</w:t>
      </w:r>
      <w:r>
        <w:t xml:space="preserve"> (</w:t>
      </w:r>
      <w:r>
        <w:t xml:space="preserve">51</w:t>
      </w:r>
      <w:r>
        <w:t xml:space="preserve">%).</w:t>
      </w:r>
      <w:r/>
    </w:p>
    <w:p>
      <w:r/>
      <w:r/>
    </w:p>
    <w:p>
      <w:pPr>
        <w:ind w:firstLine="0"/>
      </w:pPr>
      <w:r/>
      <w:bookmarkStart w:id="0" w:name="_GoBack"/>
      <w:r>
        <w:drawing>
          <wp:inline distT="0" distB="0" distL="0" distR="0">
            <wp:extent cx="6260757" cy="3624649"/>
            <wp:effectExtent l="0" t="0" r="6985" b="0"/>
            <wp:docPr id="1" name="Диаграмма 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  <w:r/>
      <w:r/>
    </w:p>
    <w:p>
      <w:r>
        <w:t xml:space="preserve">Количество поступивших</w:t>
      </w:r>
      <w:r>
        <w:t xml:space="preserve"> </w:t>
      </w:r>
      <w:r>
        <w:t xml:space="preserve">обращений </w:t>
      </w:r>
      <w:r>
        <w:t xml:space="preserve">по типу</w:t>
      </w:r>
      <w:r>
        <w:t xml:space="preserve"> обращения:</w:t>
      </w:r>
      <w:r/>
    </w:p>
    <w:p>
      <w:pPr>
        <w:tabs>
          <w:tab w:val="left" w:pos="1418" w:leader="none"/>
        </w:tabs>
      </w:pPr>
      <w:r>
        <w:t xml:space="preserve">заявления </w:t>
      </w:r>
      <w:r>
        <w:t xml:space="preserve">–</w:t>
      </w:r>
      <w:r>
        <w:t xml:space="preserve"> </w:t>
      </w:r>
      <w:r>
        <w:t xml:space="preserve">52</w:t>
      </w:r>
      <w:r>
        <w:t xml:space="preserve"> </w:t>
      </w:r>
      <w:r>
        <w:t xml:space="preserve">(</w:t>
      </w:r>
      <w:r>
        <w:t xml:space="preserve">49</w:t>
      </w:r>
      <w:r>
        <w:t xml:space="preserve"> </w:t>
      </w:r>
      <w:r>
        <w:t xml:space="preserve">%)</w:t>
      </w:r>
      <w:r>
        <w:rPr>
          <w:rStyle w:val="724"/>
        </w:rPr>
        <w:footnoteReference w:id="2"/>
      </w:r>
      <w:r>
        <w:t xml:space="preserve">;</w:t>
      </w:r>
      <w:r/>
    </w:p>
    <w:p>
      <w:pPr>
        <w:tabs>
          <w:tab w:val="left" w:pos="1418" w:leader="none"/>
        </w:tabs>
      </w:pPr>
      <w:r>
        <w:t xml:space="preserve">запросы </w:t>
      </w:r>
      <w:r>
        <w:t xml:space="preserve">о предоставлении официальной статистической информации и данных годовой бухгалтерской (финансовой) отчетности юридических лиц, осуществляющих свою деятельность на территории Российской Федерации,</w:t>
      </w:r>
      <w:r>
        <w:t xml:space="preserve"> </w:t>
      </w:r>
      <w:r>
        <w:t xml:space="preserve">–</w:t>
      </w:r>
      <w:r>
        <w:t xml:space="preserve"> </w:t>
      </w:r>
      <w:r>
        <w:t xml:space="preserve">55</w:t>
      </w:r>
      <w:r>
        <w:t xml:space="preserve"> </w:t>
      </w:r>
      <w:r>
        <w:t xml:space="preserve">(</w:t>
      </w:r>
      <w:r>
        <w:t xml:space="preserve">51</w:t>
      </w:r>
      <w:r>
        <w:t xml:space="preserve"> </w:t>
      </w:r>
      <w:r>
        <w:t xml:space="preserve">%).</w:t>
      </w:r>
      <w:r/>
    </w:p>
    <w:p>
      <w:pPr>
        <w:spacing w:line="276" w:lineRule="auto"/>
      </w:pPr>
      <w:r>
        <w:t xml:space="preserve">Каналы поступления</w:t>
      </w:r>
      <w:r>
        <w:t xml:space="preserve"> обращений</w:t>
      </w:r>
      <w:r>
        <w:t xml:space="preserve"> граждан:</w:t>
      </w:r>
      <w:r/>
    </w:p>
    <w:p>
      <w:r>
        <w:t xml:space="preserve">1. По </w:t>
      </w:r>
      <w:r>
        <w:t xml:space="preserve">источнику</w:t>
      </w:r>
      <w:r>
        <w:t xml:space="preserve"> </w:t>
      </w:r>
      <w:r>
        <w:t xml:space="preserve">поступления:</w:t>
      </w:r>
      <w:r/>
    </w:p>
    <w:p>
      <w:r>
        <w:t xml:space="preserve">от граждан </w:t>
      </w:r>
      <w:r>
        <w:t xml:space="preserve">–</w:t>
      </w:r>
      <w:r>
        <w:t xml:space="preserve"> </w:t>
      </w:r>
      <w:r>
        <w:t xml:space="preserve">1</w:t>
      </w:r>
      <w:r>
        <w:t xml:space="preserve">07</w:t>
      </w:r>
      <w:r>
        <w:t xml:space="preserve"> (</w:t>
      </w:r>
      <w:r>
        <w:t xml:space="preserve">100 </w:t>
      </w:r>
      <w:r>
        <w:t xml:space="preserve">%)</w:t>
      </w:r>
      <w:r>
        <w:t xml:space="preserve">.</w:t>
      </w:r>
      <w:r/>
    </w:p>
    <w:p>
      <w:r>
        <w:t xml:space="preserve">2. По </w:t>
      </w:r>
      <w:r>
        <w:t xml:space="preserve">типу доставки:</w:t>
      </w:r>
      <w:r/>
    </w:p>
    <w:p>
      <w:pPr>
        <w:ind w:firstLine="1134"/>
      </w:pPr>
      <w:r>
        <w:t xml:space="preserve">Почтой России </w:t>
      </w:r>
      <w:r>
        <w:t xml:space="preserve">–</w:t>
      </w:r>
      <w:r>
        <w:t xml:space="preserve"> </w:t>
      </w:r>
      <w:r>
        <w:t xml:space="preserve">38</w:t>
      </w:r>
      <w:r>
        <w:t xml:space="preserve"> </w:t>
      </w:r>
      <w:r>
        <w:t xml:space="preserve">(</w:t>
      </w:r>
      <w:r>
        <w:t xml:space="preserve">36</w:t>
      </w:r>
      <w:r>
        <w:t xml:space="preserve"> </w:t>
      </w:r>
      <w:r>
        <w:t xml:space="preserve">%)</w:t>
      </w:r>
      <w:r>
        <w:t xml:space="preserve">;</w:t>
      </w:r>
      <w:r/>
    </w:p>
    <w:p>
      <w:pPr>
        <w:ind w:firstLine="1134"/>
      </w:pPr>
      <w:r>
        <w:t xml:space="preserve">по информационно-телекоммуникационной сети «Интернет» (электронной почтой) </w:t>
      </w:r>
      <w:r>
        <w:t xml:space="preserve">–</w:t>
      </w:r>
      <w:r>
        <w:t xml:space="preserve"> </w:t>
      </w:r>
      <w:r>
        <w:t xml:space="preserve">30</w:t>
      </w:r>
      <w:r>
        <w:t xml:space="preserve"> (</w:t>
      </w:r>
      <w:r>
        <w:t xml:space="preserve">28</w:t>
      </w:r>
      <w:r>
        <w:t xml:space="preserve"> </w:t>
      </w:r>
      <w:r>
        <w:t xml:space="preserve">%)</w:t>
      </w:r>
      <w:r>
        <w:t xml:space="preserve">;</w:t>
      </w:r>
      <w:r/>
    </w:p>
    <w:p>
      <w:pPr>
        <w:ind w:firstLine="1134"/>
      </w:pPr>
      <w:r>
        <w:t xml:space="preserve">другим способ</w:t>
      </w:r>
      <w:r>
        <w:t xml:space="preserve">ом</w:t>
      </w:r>
      <w:r>
        <w:t xml:space="preserve"> доставки</w:t>
      </w:r>
      <w:r>
        <w:t xml:space="preserve"> </w:t>
      </w:r>
      <w:r>
        <w:t xml:space="preserve">–</w:t>
      </w:r>
      <w:r>
        <w:t xml:space="preserve"> </w:t>
      </w:r>
      <w:r>
        <w:t xml:space="preserve">39</w:t>
      </w:r>
      <w:r>
        <w:t xml:space="preserve"> (</w:t>
      </w:r>
      <w:r>
        <w:t xml:space="preserve">36</w:t>
      </w:r>
      <w:r>
        <w:t xml:space="preserve"> </w:t>
      </w:r>
      <w:r>
        <w:t xml:space="preserve">%)</w:t>
      </w:r>
      <w:r>
        <w:t xml:space="preserve">.</w:t>
      </w:r>
      <w:r/>
    </w:p>
    <w:p>
      <w:pPr>
        <w:ind w:firstLine="1134"/>
      </w:pPr>
      <w:r/>
      <w:r/>
    </w:p>
    <w:p>
      <w:pPr>
        <w:ind w:firstLine="0"/>
      </w:pPr>
      <w:r>
        <w:drawing>
          <wp:inline distT="0" distB="0" distL="0" distR="0">
            <wp:extent cx="6257580" cy="3723701"/>
            <wp:effectExtent l="0" t="0" r="0" b="0"/>
            <wp:docPr id="2" name="Диаграмма 1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/>
    </w:p>
    <w:p>
      <w:pPr>
        <w:rPr>
          <w:lang w:val="en-US"/>
        </w:rPr>
      </w:pPr>
      <w:r>
        <w:rPr>
          <w:lang w:val="en-US"/>
        </w:rPr>
      </w:r>
      <w:r/>
    </w:p>
    <w:p>
      <w:pPr>
        <w:tabs>
          <w:tab w:val="left" w:pos="2977" w:leader="none"/>
          <w:tab w:val="left" w:pos="3119" w:leader="none"/>
        </w:tabs>
      </w:pPr>
      <w:r>
        <w:t xml:space="preserve">Систематизация вопросов (</w:t>
      </w:r>
      <w:r>
        <w:t xml:space="preserve">1</w:t>
      </w:r>
      <w:r>
        <w:t xml:space="preserve">07</w:t>
      </w:r>
      <w:r>
        <w:t xml:space="preserve">), содержащихся в обращениях, осуществлялась на основе типового общероссийского тематического классификатора обращений граждан Российской Федерации, иностранных граждан, лиц без гражданства, в том числе юридических лиц.</w:t>
      </w:r>
      <w:r/>
    </w:p>
    <w:p>
      <w:r/>
      <w:r/>
    </w:p>
    <w:p>
      <w:pPr>
        <w:jc w:val="center"/>
      </w:pPr>
      <w:r>
        <w:drawing>
          <wp:inline distT="0" distB="0" distL="0" distR="0">
            <wp:extent cx="5890054" cy="3410464"/>
            <wp:effectExtent l="0" t="0" r="0" b="0"/>
            <wp:docPr id="3" name="Диаграмма 3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/>
    </w:p>
    <w:p>
      <w:r>
        <w:t xml:space="preserve">Красноярскстатом</w:t>
      </w:r>
      <w:r>
        <w:t xml:space="preserve"> в </w:t>
      </w:r>
      <w:r>
        <w:rPr>
          <w:lang w:val="en-US"/>
        </w:rPr>
        <w:t xml:space="preserve">I</w:t>
      </w:r>
      <w:r>
        <w:t xml:space="preserve"> квартале 202</w:t>
      </w:r>
      <w:r>
        <w:t xml:space="preserve">3</w:t>
      </w:r>
      <w:r>
        <w:t xml:space="preserve"> года рассмотрено </w:t>
      </w:r>
      <w:r>
        <w:t xml:space="preserve">92</w:t>
      </w:r>
      <w:r>
        <w:t xml:space="preserve"> обращени</w:t>
      </w:r>
      <w:r>
        <w:t xml:space="preserve">я</w:t>
      </w:r>
      <w:r>
        <w:t xml:space="preserve"> граждан</w:t>
      </w:r>
      <w:r>
        <w:t xml:space="preserve">. </w:t>
      </w:r>
      <w:r>
        <w:t xml:space="preserve">На все обращения даны ответы по существу поставленных в них вопросов в установленные законодательством Российской Федерации сроки.</w:t>
      </w:r>
      <w:r/>
    </w:p>
    <w:p>
      <w:r/>
      <w:r/>
    </w:p>
    <w:p>
      <w:r>
        <w:t xml:space="preserve">Гражданам направлены ответы с </w:t>
      </w:r>
      <w:r>
        <w:t xml:space="preserve">результатом рассмотрения</w:t>
      </w:r>
      <w:r>
        <w:t xml:space="preserve"> обращений</w:t>
      </w:r>
      <w:r>
        <w:t xml:space="preserve">:</w:t>
      </w:r>
      <w:r/>
    </w:p>
    <w:p>
      <w:r>
        <w:t xml:space="preserve">«разъяснено» – </w:t>
      </w:r>
      <w:r>
        <w:t xml:space="preserve">20</w:t>
      </w:r>
      <w:r>
        <w:t xml:space="preserve"> (</w:t>
      </w:r>
      <w:r>
        <w:t xml:space="preserve">22</w:t>
      </w:r>
      <w:r>
        <w:t xml:space="preserve"> %);</w:t>
      </w:r>
      <w:r/>
    </w:p>
    <w:p>
      <w:pPr>
        <w:ind w:firstLine="0"/>
      </w:pPr>
      <w:r>
        <w:t xml:space="preserve">         </w:t>
      </w:r>
      <w:r>
        <w:t xml:space="preserve">«</w:t>
      </w:r>
      <w:r>
        <w:t xml:space="preserve">п</w:t>
      </w:r>
      <w:r>
        <w:t xml:space="preserve">оддержано, в том числе приняты меры</w:t>
      </w:r>
      <w:r>
        <w:t xml:space="preserve">» - </w:t>
      </w:r>
      <w:r>
        <w:t xml:space="preserve">28</w:t>
      </w:r>
      <w:r>
        <w:t xml:space="preserve"> (</w:t>
      </w:r>
      <w:r>
        <w:t xml:space="preserve">30</w:t>
      </w:r>
      <w:r>
        <w:t xml:space="preserve"> %);</w:t>
      </w:r>
      <w:r/>
    </w:p>
    <w:p>
      <w:r>
        <w:t xml:space="preserve">«предоставлена статистическая информация и данные годовой бухгалтерской отчетности» – </w:t>
      </w:r>
      <w:r>
        <w:t xml:space="preserve">44</w:t>
      </w:r>
      <w:r>
        <w:t xml:space="preserve"> (</w:t>
      </w:r>
      <w:r>
        <w:t xml:space="preserve">48</w:t>
      </w:r>
      <w:r>
        <w:t xml:space="preserve"> %);</w:t>
      </w:r>
      <w:r/>
    </w:p>
    <w:p>
      <w:r/>
      <w:r/>
    </w:p>
    <w:p>
      <w:r/>
      <w:r/>
    </w:p>
    <w:p>
      <w:r>
        <w:rPr>
          <w:rFonts w:ascii="Arial" w:hAnsi="Arial" w:cs="Arial"/>
        </w:rPr>
        <w:drawing>
          <wp:inline distT="0" distB="0" distL="0" distR="0">
            <wp:extent cx="5947719" cy="2413686"/>
            <wp:effectExtent l="0" t="0" r="0" b="0"/>
            <wp:docPr id="4" name="Диаграмма 5" hidden="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/>
    </w:p>
    <w:p>
      <w:r/>
      <w:r/>
    </w:p>
    <w:p>
      <w:r>
        <w:t xml:space="preserve">Гражданам направлены ответы за подписью</w:t>
      </w:r>
      <w:r>
        <w:t xml:space="preserve">:</w:t>
      </w:r>
      <w:r/>
    </w:p>
    <w:p>
      <w:r>
        <w:t xml:space="preserve">руководителя Красноярскстата – </w:t>
      </w:r>
      <w:r>
        <w:t xml:space="preserve">57</w:t>
      </w:r>
      <w:r>
        <w:t xml:space="preserve"> (</w:t>
      </w:r>
      <w:r>
        <w:t xml:space="preserve">62</w:t>
      </w:r>
      <w:r>
        <w:t xml:space="preserve"> %);</w:t>
      </w:r>
      <w:r/>
    </w:p>
    <w:p>
      <w:r>
        <w:t xml:space="preserve">заместителя руководителя Красноярскстата – </w:t>
      </w:r>
      <w:r>
        <w:t xml:space="preserve">35</w:t>
      </w:r>
      <w:r>
        <w:t xml:space="preserve"> (</w:t>
      </w:r>
      <w:r>
        <w:t xml:space="preserve">38</w:t>
      </w:r>
      <w:r>
        <w:t xml:space="preserve"> %).</w:t>
      </w:r>
      <w:r/>
    </w:p>
    <w:p>
      <w:r/>
      <w:r/>
    </w:p>
    <w:p>
      <w:pPr>
        <w:widowControl w:val="off"/>
      </w:pPr>
      <w:r>
        <w:t xml:space="preserve">Личный прием граждан руководством Красноярскстата в </w:t>
      </w:r>
      <w:r>
        <w:t xml:space="preserve">I квартале </w:t>
        <w:br/>
        <w:t xml:space="preserve">2023</w:t>
      </w:r>
      <w:r>
        <w:t xml:space="preserve"> года не проводился в связи с отсутствием обращений граждан по вопросам, касающимся компетенции Красноярскстата.</w:t>
      </w:r>
      <w:r/>
    </w:p>
    <w:p>
      <w:pPr>
        <w:widowControl w:val="off"/>
      </w:pPr>
      <w:r/>
      <w:r/>
    </w:p>
    <w:sectPr>
      <w:headerReference w:type="default" r:id="rId9"/>
      <w:footnotePr>
        <w:numRestart w:val="eachPage"/>
      </w:footnotePr>
      <w:endnotePr/>
      <w:type w:val="nextPage"/>
      <w:pgSz w:w="11906" w:h="16838" w:orient="portrait"/>
      <w:pgMar w:top="1134" w:right="850" w:bottom="709" w:left="1134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pStyle w:val="722"/>
      </w:pPr>
      <w:r>
        <w:rPr>
          <w:rStyle w:val="724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>
        <w:t xml:space="preserve"> </w:t>
      </w:r>
      <w:r>
        <w:t xml:space="preserve">в субпозиции % от показателя позиции в тех случаях, где это имеется.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82798301"/>
      <w:docPartObj>
        <w:docPartGallery w:val="Page Numbers (Top of Page)"/>
        <w:docPartUnique w:val="true"/>
      </w:docPartObj>
      <w:rPr/>
    </w:sdtPr>
    <w:sdtContent>
      <w:p>
        <w:pPr>
          <w:pStyle w:val="72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7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pStyle w:val="698"/>
      <w:isLgl w:val="false"/>
      <w:suff w:val="tab"/>
      <w:lvlText w:val="%1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1">
      <w:start w:val="1"/>
      <w:numFmt w:val="decimal"/>
      <w:pStyle w:val="699"/>
      <w:isLgl/>
      <w:suff w:val="tab"/>
      <w:lvlText w:val="%1.%2"/>
      <w:lvlJc w:val="left"/>
      <w:pPr>
        <w:ind w:left="0" w:firstLine="0"/>
        <w:tabs>
          <w:tab w:val="num" w:pos="0" w:leader="none"/>
        </w:tabs>
      </w:pPr>
      <w:rPr>
        <w:rFonts w:hint="default"/>
      </w:rPr>
    </w:lvl>
    <w:lvl w:ilvl="2">
      <w:start w:val="1"/>
      <w:numFmt w:val="decimal"/>
      <w:pStyle w:val="700"/>
      <w:isLgl w:val="false"/>
      <w:suff w:val="tab"/>
      <w:lvlText w:val="%1.%2.%3"/>
      <w:lvlJc w:val="left"/>
      <w:pPr>
        <w:ind w:left="720" w:hanging="720"/>
        <w:tabs>
          <w:tab w:val="num" w:pos="720" w:leader="none"/>
        </w:tabs>
      </w:pPr>
      <w:rPr>
        <w:rFonts w:hint="default"/>
      </w:rPr>
    </w:lvl>
    <w:lvl w:ilvl="3">
      <w:start w:val="1"/>
      <w:numFmt w:val="decimal"/>
      <w:pStyle w:val="701"/>
      <w:isLgl w:val="false"/>
      <w:suff w:val="tab"/>
      <w:lvlText w:val="%1.%2.%3.%4"/>
      <w:lvlJc w:val="left"/>
      <w:pPr>
        <w:ind w:left="864" w:hanging="864"/>
        <w:tabs>
          <w:tab w:val="num" w:pos="864" w:leader="none"/>
        </w:tabs>
      </w:pPr>
      <w:rPr>
        <w:rFonts w:hint="default"/>
      </w:rPr>
    </w:lvl>
    <w:lvl w:ilvl="4">
      <w:start w:val="1"/>
      <w:numFmt w:val="decimal"/>
      <w:pStyle w:val="702"/>
      <w:isLgl w:val="false"/>
      <w:suff w:val="tab"/>
      <w:lvlText w:val="%1.%2.%3.%4.%5"/>
      <w:lvlJc w:val="left"/>
      <w:pPr>
        <w:ind w:left="1008" w:hanging="1008"/>
        <w:tabs>
          <w:tab w:val="num" w:pos="1008" w:leader="none"/>
        </w:tabs>
      </w:pPr>
      <w:rPr>
        <w:rFonts w:hint="default"/>
      </w:rPr>
    </w:lvl>
    <w:lvl w:ilvl="5">
      <w:start w:val="1"/>
      <w:numFmt w:val="decimal"/>
      <w:pStyle w:val="703"/>
      <w:isLgl w:val="false"/>
      <w:suff w:val="tab"/>
      <w:lvlText w:val="%1.%2.%3.%4.%5.%6"/>
      <w:lvlJc w:val="left"/>
      <w:pPr>
        <w:ind w:left="1152" w:hanging="1152"/>
        <w:tabs>
          <w:tab w:val="num" w:pos="1152" w:leader="none"/>
        </w:tabs>
      </w:pPr>
      <w:rPr>
        <w:rFonts w:hint="default"/>
      </w:rPr>
    </w:lvl>
    <w:lvl w:ilvl="6">
      <w:start w:val="1"/>
      <w:numFmt w:val="decimal"/>
      <w:pStyle w:val="704"/>
      <w:isLgl w:val="false"/>
      <w:suff w:val="tab"/>
      <w:lvlText w:val="%1.%2.%3.%4.%5.%6.%7"/>
      <w:lvlJc w:val="left"/>
      <w:pPr>
        <w:ind w:left="1296" w:hanging="1296"/>
        <w:tabs>
          <w:tab w:val="num" w:pos="1296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  <w:tabs>
          <w:tab w:val="num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584" w:hanging="1584"/>
        <w:tabs>
          <w:tab w:val="num" w:pos="1584" w:leader="none"/>
        </w:tabs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eachPage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07"/>
    <w:link w:val="698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07"/>
    <w:link w:val="69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07"/>
    <w:link w:val="700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07"/>
    <w:link w:val="701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07"/>
    <w:link w:val="702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07"/>
    <w:link w:val="703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07"/>
    <w:link w:val="7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07"/>
    <w:link w:val="705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07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97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97"/>
    <w:next w:val="697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07"/>
    <w:link w:val="32"/>
    <w:uiPriority w:val="10"/>
    <w:rPr>
      <w:sz w:val="48"/>
      <w:szCs w:val="48"/>
    </w:rPr>
  </w:style>
  <w:style w:type="paragraph" w:styleId="34">
    <w:name w:val="Subtitle"/>
    <w:basedOn w:val="697"/>
    <w:next w:val="697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07"/>
    <w:link w:val="34"/>
    <w:uiPriority w:val="11"/>
    <w:rPr>
      <w:sz w:val="24"/>
      <w:szCs w:val="24"/>
    </w:rPr>
  </w:style>
  <w:style w:type="paragraph" w:styleId="36">
    <w:name w:val="Quote"/>
    <w:basedOn w:val="697"/>
    <w:next w:val="697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97"/>
    <w:next w:val="697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07"/>
    <w:link w:val="725"/>
    <w:uiPriority w:val="99"/>
  </w:style>
  <w:style w:type="character" w:styleId="43">
    <w:name w:val="Footer Char"/>
    <w:basedOn w:val="707"/>
    <w:link w:val="727"/>
    <w:uiPriority w:val="99"/>
  </w:style>
  <w:style w:type="character" w:styleId="45">
    <w:name w:val="Caption Char"/>
    <w:basedOn w:val="719"/>
    <w:link w:val="727"/>
    <w:uiPriority w:val="99"/>
  </w:style>
  <w:style w:type="table" w:styleId="46">
    <w:name w:val="Table Grid"/>
    <w:basedOn w:val="7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character" w:styleId="174">
    <w:name w:val="Footnote Text Char"/>
    <w:link w:val="722"/>
    <w:uiPriority w:val="99"/>
    <w:rPr>
      <w:sz w:val="18"/>
    </w:rPr>
  </w:style>
  <w:style w:type="character" w:styleId="177">
    <w:name w:val="Endnote Text Char"/>
    <w:link w:val="735"/>
    <w:uiPriority w:val="99"/>
    <w:rPr>
      <w:sz w:val="20"/>
    </w:rPr>
  </w:style>
  <w:style w:type="paragraph" w:styleId="179">
    <w:name w:val="toc 1"/>
    <w:basedOn w:val="697"/>
    <w:next w:val="69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97"/>
    <w:next w:val="69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97"/>
    <w:next w:val="69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97"/>
    <w:next w:val="69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97"/>
    <w:next w:val="69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97"/>
    <w:next w:val="69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97"/>
    <w:next w:val="69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97"/>
    <w:next w:val="69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97"/>
    <w:next w:val="697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97"/>
    <w:next w:val="697"/>
    <w:uiPriority w:val="99"/>
    <w:unhideWhenUsed/>
    <w:pPr>
      <w:spacing w:after="0" w:afterAutospacing="0"/>
    </w:pPr>
  </w:style>
  <w:style w:type="paragraph" w:styleId="697" w:default="1">
    <w:name w:val="Normal"/>
    <w:qFormat/>
    <w:pPr>
      <w:ind w:firstLine="709"/>
      <w:jc w:val="both"/>
    </w:pPr>
    <w:rPr>
      <w:sz w:val="28"/>
      <w:szCs w:val="28"/>
      <w:lang w:eastAsia="ru-RU"/>
    </w:rPr>
  </w:style>
  <w:style w:type="paragraph" w:styleId="698">
    <w:name w:val="Heading 1"/>
    <w:basedOn w:val="697"/>
    <w:next w:val="697"/>
    <w:link w:val="710"/>
    <w:qFormat/>
    <w:pPr>
      <w:numPr>
        <w:numId w:val="26"/>
      </w:numPr>
      <w:jc w:val="center"/>
      <w:keepNext/>
      <w:spacing w:before="240" w:after="240"/>
      <w:outlineLvl w:val="0"/>
    </w:pPr>
    <w:rPr>
      <w:rFonts w:cs="Arial"/>
      <w:b/>
      <w:bCs/>
      <w:szCs w:val="32"/>
    </w:rPr>
  </w:style>
  <w:style w:type="paragraph" w:styleId="699">
    <w:name w:val="Heading 2"/>
    <w:basedOn w:val="697"/>
    <w:next w:val="697"/>
    <w:link w:val="711"/>
    <w:qFormat/>
    <w:pPr>
      <w:numPr>
        <w:ilvl w:val="1"/>
        <w:numId w:val="26"/>
      </w:numPr>
      <w:jc w:val="center"/>
      <w:keepNext/>
      <w:spacing w:before="240" w:after="240"/>
      <w:outlineLvl w:val="1"/>
    </w:pPr>
    <w:rPr>
      <w:rFonts w:cs="Arial"/>
      <w:bCs/>
      <w:iCs/>
    </w:rPr>
  </w:style>
  <w:style w:type="paragraph" w:styleId="700">
    <w:name w:val="Heading 3"/>
    <w:basedOn w:val="697"/>
    <w:next w:val="697"/>
    <w:link w:val="712"/>
    <w:qFormat/>
    <w:pPr>
      <w:numPr>
        <w:ilvl w:val="2"/>
        <w:numId w:val="26"/>
      </w:num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701">
    <w:name w:val="Heading 4"/>
    <w:basedOn w:val="697"/>
    <w:next w:val="697"/>
    <w:link w:val="713"/>
    <w:qFormat/>
    <w:pPr>
      <w:numPr>
        <w:ilvl w:val="3"/>
        <w:numId w:val="26"/>
      </w:numPr>
      <w:keepNext/>
      <w:spacing w:before="240" w:after="60"/>
      <w:outlineLvl w:val="3"/>
    </w:pPr>
    <w:rPr>
      <w:b/>
      <w:bCs/>
    </w:rPr>
  </w:style>
  <w:style w:type="paragraph" w:styleId="702">
    <w:name w:val="Heading 5"/>
    <w:basedOn w:val="697"/>
    <w:next w:val="697"/>
    <w:link w:val="714"/>
    <w:qFormat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03">
    <w:name w:val="Heading 6"/>
    <w:basedOn w:val="697"/>
    <w:next w:val="697"/>
    <w:link w:val="715"/>
    <w:qFormat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04">
    <w:name w:val="Heading 7"/>
    <w:basedOn w:val="697"/>
    <w:next w:val="697"/>
    <w:link w:val="716"/>
    <w:qFormat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705">
    <w:name w:val="Heading 8"/>
    <w:basedOn w:val="697"/>
    <w:next w:val="697"/>
    <w:link w:val="717"/>
    <w:qFormat/>
    <w:pPr>
      <w:ind w:left="1440" w:hanging="1440"/>
      <w:spacing w:before="240" w:after="60"/>
      <w:tabs>
        <w:tab w:val="num" w:pos="1440" w:leader="none"/>
      </w:tabs>
      <w:outlineLvl w:val="7"/>
    </w:pPr>
    <w:rPr>
      <w:i/>
      <w:iCs/>
      <w:sz w:val="24"/>
      <w:szCs w:val="24"/>
    </w:rPr>
  </w:style>
  <w:style w:type="paragraph" w:styleId="706">
    <w:name w:val="Heading 9"/>
    <w:basedOn w:val="697"/>
    <w:next w:val="697"/>
    <w:link w:val="718"/>
    <w:qFormat/>
    <w:pPr>
      <w:ind w:left="1584" w:hanging="1584"/>
      <w:spacing w:before="240" w:after="60"/>
      <w:tabs>
        <w:tab w:val="num" w:pos="1584" w:leader="none"/>
      </w:tabs>
      <w:outlineLvl w:val="8"/>
    </w:pPr>
    <w:rPr>
      <w:rFonts w:ascii="Arial" w:hAnsi="Arial" w:cs="Arial"/>
      <w:sz w:val="22"/>
      <w:szCs w:val="22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basedOn w:val="707"/>
    <w:link w:val="698"/>
    <w:rPr>
      <w:rFonts w:cs="Arial"/>
      <w:b/>
      <w:bCs/>
      <w:sz w:val="28"/>
      <w:szCs w:val="32"/>
      <w:lang w:eastAsia="ru-RU"/>
    </w:rPr>
  </w:style>
  <w:style w:type="character" w:styleId="711" w:customStyle="1">
    <w:name w:val="Заголовок 2 Знак"/>
    <w:basedOn w:val="707"/>
    <w:link w:val="699"/>
    <w:rPr>
      <w:rFonts w:cs="Arial"/>
      <w:bCs/>
      <w:iCs/>
      <w:sz w:val="28"/>
      <w:szCs w:val="28"/>
      <w:lang w:eastAsia="ru-RU"/>
    </w:rPr>
  </w:style>
  <w:style w:type="character" w:styleId="712" w:customStyle="1">
    <w:name w:val="Заголовок 3 Знак"/>
    <w:basedOn w:val="707"/>
    <w:link w:val="700"/>
    <w:rPr>
      <w:rFonts w:ascii="Arial" w:hAnsi="Arial" w:cs="Arial"/>
      <w:b/>
      <w:bCs/>
      <w:sz w:val="28"/>
      <w:szCs w:val="26"/>
      <w:lang w:eastAsia="ru-RU"/>
    </w:rPr>
  </w:style>
  <w:style w:type="character" w:styleId="713" w:customStyle="1">
    <w:name w:val="Заголовок 4 Знак"/>
    <w:basedOn w:val="707"/>
    <w:link w:val="701"/>
    <w:rPr>
      <w:b/>
      <w:bCs/>
      <w:sz w:val="28"/>
      <w:szCs w:val="28"/>
      <w:lang w:eastAsia="ru-RU"/>
    </w:rPr>
  </w:style>
  <w:style w:type="character" w:styleId="714" w:customStyle="1">
    <w:name w:val="Заголовок 5 Знак"/>
    <w:basedOn w:val="707"/>
    <w:link w:val="702"/>
    <w:rPr>
      <w:b/>
      <w:bCs/>
      <w:i/>
      <w:iCs/>
      <w:sz w:val="26"/>
      <w:szCs w:val="26"/>
      <w:lang w:eastAsia="ru-RU"/>
    </w:rPr>
  </w:style>
  <w:style w:type="character" w:styleId="715" w:customStyle="1">
    <w:name w:val="Заголовок 6 Знак"/>
    <w:basedOn w:val="707"/>
    <w:link w:val="703"/>
    <w:rPr>
      <w:b/>
      <w:bCs/>
      <w:sz w:val="22"/>
      <w:szCs w:val="22"/>
      <w:lang w:eastAsia="ru-RU"/>
    </w:rPr>
  </w:style>
  <w:style w:type="character" w:styleId="716" w:customStyle="1">
    <w:name w:val="Заголовок 7 Знак"/>
    <w:basedOn w:val="707"/>
    <w:link w:val="704"/>
    <w:rPr>
      <w:sz w:val="24"/>
      <w:szCs w:val="24"/>
      <w:lang w:eastAsia="ru-RU"/>
    </w:rPr>
  </w:style>
  <w:style w:type="character" w:styleId="717" w:customStyle="1">
    <w:name w:val="Заголовок 8 Знак"/>
    <w:basedOn w:val="707"/>
    <w:link w:val="705"/>
    <w:rPr>
      <w:i/>
      <w:iCs/>
      <w:sz w:val="24"/>
      <w:szCs w:val="24"/>
      <w:lang w:eastAsia="ru-RU"/>
    </w:rPr>
  </w:style>
  <w:style w:type="character" w:styleId="718" w:customStyle="1">
    <w:name w:val="Заголовок 9 Знак"/>
    <w:basedOn w:val="707"/>
    <w:link w:val="706"/>
    <w:rPr>
      <w:rFonts w:ascii="Arial" w:hAnsi="Arial" w:cs="Arial"/>
      <w:sz w:val="22"/>
      <w:szCs w:val="22"/>
      <w:lang w:eastAsia="ru-RU"/>
    </w:rPr>
  </w:style>
  <w:style w:type="paragraph" w:styleId="719">
    <w:name w:val="Caption"/>
    <w:basedOn w:val="697"/>
    <w:next w:val="697"/>
    <w:qFormat/>
    <w:pPr>
      <w:ind w:firstLine="0"/>
      <w:jc w:val="center"/>
      <w:spacing w:line="20" w:lineRule="atLeast"/>
    </w:pPr>
    <w:rPr>
      <w:b/>
      <w:sz w:val="24"/>
      <w:szCs w:val="20"/>
    </w:rPr>
  </w:style>
  <w:style w:type="character" w:styleId="720">
    <w:name w:val="Strong"/>
    <w:basedOn w:val="707"/>
    <w:qFormat/>
    <w:rPr>
      <w:b/>
      <w:bCs/>
    </w:rPr>
  </w:style>
  <w:style w:type="paragraph" w:styleId="721" w:customStyle="1">
    <w:name w:val="Default"/>
    <w:rPr>
      <w:color w:val="000000"/>
      <w:sz w:val="24"/>
      <w:szCs w:val="24"/>
    </w:rPr>
  </w:style>
  <w:style w:type="paragraph" w:styleId="722">
    <w:name w:val="footnote text"/>
    <w:basedOn w:val="697"/>
    <w:link w:val="723"/>
    <w:uiPriority w:val="99"/>
    <w:semiHidden/>
    <w:unhideWhenUsed/>
    <w:rPr>
      <w:sz w:val="20"/>
      <w:szCs w:val="20"/>
    </w:rPr>
  </w:style>
  <w:style w:type="character" w:styleId="723" w:customStyle="1">
    <w:name w:val="Текст сноски Знак"/>
    <w:basedOn w:val="707"/>
    <w:link w:val="722"/>
    <w:uiPriority w:val="99"/>
    <w:semiHidden/>
    <w:rPr>
      <w:lang w:eastAsia="ru-RU"/>
    </w:rPr>
  </w:style>
  <w:style w:type="character" w:styleId="724">
    <w:name w:val="footnote reference"/>
    <w:basedOn w:val="707"/>
    <w:uiPriority w:val="99"/>
    <w:semiHidden/>
    <w:unhideWhenUsed/>
    <w:rPr>
      <w:vertAlign w:val="superscript"/>
    </w:rPr>
  </w:style>
  <w:style w:type="paragraph" w:styleId="725">
    <w:name w:val="Header"/>
    <w:basedOn w:val="697"/>
    <w:link w:val="7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6" w:customStyle="1">
    <w:name w:val="Верхний колонтитул Знак"/>
    <w:basedOn w:val="707"/>
    <w:link w:val="725"/>
    <w:uiPriority w:val="99"/>
    <w:rPr>
      <w:sz w:val="28"/>
      <w:szCs w:val="28"/>
      <w:lang w:eastAsia="ru-RU"/>
    </w:rPr>
  </w:style>
  <w:style w:type="paragraph" w:styleId="727">
    <w:name w:val="Footer"/>
    <w:basedOn w:val="697"/>
    <w:link w:val="72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28" w:customStyle="1">
    <w:name w:val="Нижний колонтитул Знак"/>
    <w:basedOn w:val="707"/>
    <w:link w:val="727"/>
    <w:uiPriority w:val="99"/>
    <w:rPr>
      <w:sz w:val="28"/>
      <w:szCs w:val="28"/>
      <w:lang w:eastAsia="ru-RU"/>
    </w:rPr>
  </w:style>
  <w:style w:type="character" w:styleId="729">
    <w:name w:val="page number"/>
    <w:basedOn w:val="707"/>
  </w:style>
  <w:style w:type="paragraph" w:styleId="730" w:customStyle="1">
    <w:name w:val="ConsPlusNonformat"/>
    <w:pPr>
      <w:widowControl w:val="off"/>
    </w:pPr>
    <w:rPr>
      <w:rFonts w:ascii="Courier New" w:hAnsi="Courier New" w:cs="Courier New"/>
      <w:lang w:eastAsia="ru-RU"/>
    </w:rPr>
  </w:style>
  <w:style w:type="character" w:styleId="731" w:customStyle="1">
    <w:name w:val="Основной текст + Полужирный;Интервал 0 pt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-2"/>
      <w:position w:val="0"/>
      <w:sz w:val="25"/>
      <w:szCs w:val="25"/>
      <w:u w:val="none"/>
      <w:lang w:val="ru-RU"/>
    </w:rPr>
  </w:style>
  <w:style w:type="paragraph" w:styleId="732" w:customStyle="1">
    <w:name w:val="Основной текст2"/>
    <w:basedOn w:val="697"/>
    <w:pPr>
      <w:ind w:firstLine="0"/>
      <w:spacing w:after="3000" w:line="0" w:lineRule="atLeast"/>
      <w:shd w:val="clear" w:color="auto" w:fill="ffffff"/>
      <w:widowControl w:val="off"/>
    </w:pPr>
    <w:rPr>
      <w:color w:val="000000"/>
      <w:spacing w:val="3"/>
      <w:sz w:val="25"/>
      <w:szCs w:val="25"/>
    </w:rPr>
  </w:style>
  <w:style w:type="paragraph" w:styleId="733">
    <w:name w:val="Balloon Text"/>
    <w:basedOn w:val="697"/>
    <w:link w:val="734"/>
    <w:uiPriority w:val="99"/>
    <w:semiHidden/>
    <w:unhideWhenUsed/>
    <w:rPr>
      <w:rFonts w:ascii="Tahoma" w:hAnsi="Tahoma" w:cs="Tahoma"/>
      <w:sz w:val="16"/>
      <w:szCs w:val="16"/>
    </w:rPr>
  </w:style>
  <w:style w:type="character" w:styleId="734" w:customStyle="1">
    <w:name w:val="Текст выноски Знак"/>
    <w:basedOn w:val="707"/>
    <w:link w:val="733"/>
    <w:uiPriority w:val="99"/>
    <w:semiHidden/>
    <w:rPr>
      <w:rFonts w:ascii="Tahoma" w:hAnsi="Tahoma" w:cs="Tahoma"/>
      <w:sz w:val="16"/>
      <w:szCs w:val="16"/>
      <w:lang w:eastAsia="ru-RU"/>
    </w:rPr>
  </w:style>
  <w:style w:type="paragraph" w:styleId="735">
    <w:name w:val="endnote text"/>
    <w:basedOn w:val="697"/>
    <w:link w:val="736"/>
    <w:uiPriority w:val="99"/>
    <w:semiHidden/>
    <w:unhideWhenUsed/>
    <w:rPr>
      <w:sz w:val="20"/>
      <w:szCs w:val="20"/>
    </w:rPr>
  </w:style>
  <w:style w:type="character" w:styleId="736" w:customStyle="1">
    <w:name w:val="Текст концевой сноски Знак"/>
    <w:basedOn w:val="707"/>
    <w:link w:val="735"/>
    <w:uiPriority w:val="99"/>
    <w:semiHidden/>
    <w:rPr>
      <w:lang w:eastAsia="ru-RU"/>
    </w:rPr>
  </w:style>
  <w:style w:type="character" w:styleId="737">
    <w:name w:val="endnote reference"/>
    <w:basedOn w:val="707"/>
    <w:uiPriority w:val="99"/>
    <w:semiHidden/>
    <w:unhideWhenUsed/>
    <w:rPr>
      <w:vertAlign w:val="superscript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hart" Target="charts/chart1.xml" /><Relationship Id="rId12" Type="http://schemas.openxmlformats.org/officeDocument/2006/relationships/chart" Target="charts/chart2.xml" /><Relationship Id="rId13" Type="http://schemas.openxmlformats.org/officeDocument/2006/relationships/chart" Target="charts/chart3.xml" /><Relationship Id="rId14" Type="http://schemas.openxmlformats.org/officeDocument/2006/relationships/chart" Target="charts/chart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chartUserShapes" Target="../drawings/drawing1.xml" /><Relationship Id="rId2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chartUserShapes" Target="../drawings/drawing2.xml" /><Relationship Id="rId2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package" Target="../embeddings/Microsoft_Excel_Worksheet4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граждан, поступивших </a:t>
            </a:r>
            <a:endParaRPr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в Красноярскстат</a:t>
            </a:r>
            <a:endParaRPr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33587744783127"/>
          <c:y val="0.13168269955079639"/>
          <c:w val="0.76187935272102003"/>
          <c:h val="0.690841719031683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январь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0.0042260746167048615"/>
                  <c:y val="0.003412733729158168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47272268193135373"/>
                  <c:y val="1.6113001554099004e-0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28648455153589729"/>
                  <c:y val="-0.003408974028795545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87863811092806204"/>
                  <c:y val="-0.01705029838022165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I квартал 2021 года</c:v>
                </c:pt>
                <c:pt idx="1">
                  <c:v xml:space="preserve">I квартал 2022 года</c:v>
                </c:pt>
                <c:pt idx="2">
                  <c:v xml:space="preserve">I квартал 2023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18</c:v>
                </c:pt>
                <c:pt idx="1">
                  <c:v>57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февраль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0.0015032968016389723"/>
                  <c:y val="0.003412196629106427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26976882436980433"/>
                  <c:y val="0.003412196629106365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15034566078260287"/>
                  <c:y val="-0.010230413236723359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65897858319604718"/>
                  <c:y val="-0.01023017902813305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I квартал 2021 года</c:v>
                </c:pt>
                <c:pt idx="1">
                  <c:v xml:space="preserve">I квартал 2022 года</c:v>
                </c:pt>
                <c:pt idx="2">
                  <c:v xml:space="preserve">I квартал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29</c:v>
                </c:pt>
                <c:pt idx="1">
                  <c:v>28</c:v>
                </c:pt>
                <c:pt idx="2">
                  <c:v>43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март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0.0011694616768782821"/>
                  <c:y val="0.003410585328950955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-0.00052608196778946507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13362993361650992"/>
                  <c:y val="0.006821170657901909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0982976386600805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I квартал 2021 года</c:v>
                </c:pt>
                <c:pt idx="1">
                  <c:v xml:space="preserve">I квартал 2022 года</c:v>
                </c:pt>
                <c:pt idx="2">
                  <c:v xml:space="preserve">I квартал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43</c:v>
                </c:pt>
                <c:pt idx="1">
                  <c:v>38</c:v>
                </c:pt>
                <c:pt idx="2">
                  <c:v>55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50"/>
        <c:overlap val="100"/>
        <c:axId val="93919872"/>
        <c:axId val="93929856"/>
      </c:barChart>
      <c:catAx>
        <c:axId val="9391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93929856"/>
        <c:crosses val="autoZero"/>
        <c:auto val="1"/>
        <c:lblAlgn val="ctr"/>
        <c:lblOffset val="100"/>
        <c:noMultiLvlLbl val="0"/>
      </c:catAx>
      <c:valAx>
        <c:axId val="93929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3919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4380974753818566"/>
          <c:y val="0.89064562380277035"/>
          <c:w val="0.30816481137983803"/>
          <c:h val="0.059785926858021324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ln>
      <a:noFill/>
    </a:ln>
  </c:spPr>
  <c:externalData r:id="rId2">
    <c:autoUpdate val="0"/>
  </c:externalData>
  <c:userShapes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7"/>
    </mc:Choice>
    <mc:Fallback>
      <c:style val="7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Количество обращений граждан </a:t>
            </a:r>
            <a:endParaRPr/>
          </a:p>
          <a:p>
            <a:pPr>
              <a:defRPr sz="1200">
                <a:latin typeface="Arial"/>
                <a:cs typeface="Arial"/>
              </a:defRPr>
            </a:pPr>
            <a:r>
              <a:rPr lang="ru-RU" sz="1200">
                <a:latin typeface="Arial"/>
                <a:cs typeface="Arial"/>
              </a:rPr>
              <a:t>по типу доставки  в Красноярскстат</a:t>
            </a:r>
            <a:endParaRPr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933587744783127"/>
          <c:y val="0.13168269955079639"/>
          <c:w val="0.76187935272102025"/>
          <c:h val="0.6908417190316841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 xml:space="preserve">Почта России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chemeClr val="accent1"/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</c:spPr>
          <c:invertIfNegative val="0"/>
          <c:dLbls>
            <c:dLbl>
              <c:idx val="0"/>
              <c:layout>
                <c:manualLayout>
                  <c:x val="0.0042260746167048623"/>
                  <c:y val="0.003412733729158168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47272268193135373"/>
                  <c:y val="1.6113001554099012e-06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28648455153589738"/>
                  <c:y val="-0.003408974028795547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87863811092806204"/>
                  <c:y val="-0.01705029838022165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I квартал 2021 года</c:v>
                </c:pt>
                <c:pt idx="1">
                  <c:v xml:space="preserve">I квартал 2022 года</c:v>
                </c:pt>
                <c:pt idx="2">
                  <c:v xml:space="preserve">I квартал 2023 года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38</c:v>
                </c:pt>
              </c:numCache>
            </c:numRef>
          </c:val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 xml:space="preserve">Электронная почта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rgbClr val="EEECE1">
                    <a:shade val="30000"/>
                    <a:satMod val="115000"/>
                  </a:srgbClr>
                </a:gs>
                <a:gs pos="50000">
                  <a:srgbClr val="EEECE1">
                    <a:shade val="67500"/>
                    <a:satMod val="115000"/>
                  </a:srgbClr>
                </a:gs>
                <a:gs pos="100000">
                  <a:srgbClr val="EEECE1">
                    <a:shade val="100000"/>
                    <a:satMod val="115000"/>
                  </a:srgbClr>
                </a:gs>
              </a:gsLst>
              <a:lin ang="5400000" scaled="1"/>
            </a:gradFill>
          </c:spPr>
          <c:invertIfNegative val="0"/>
          <c:dLbls>
            <c:dLbl>
              <c:idx val="0"/>
              <c:layout>
                <c:manualLayout>
                  <c:x val="0.0015032968016389723"/>
                  <c:y val="0.003412196629106428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0.0026976882436980441"/>
                  <c:y val="0.0034121966291063652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15034566078260287"/>
                  <c:y val="0.0034119280790804638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065897858319604735"/>
                  <c:y val="-0.010230179028133061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I квартал 2021 года</c:v>
                </c:pt>
                <c:pt idx="1">
                  <c:v xml:space="preserve">I квартал 2022 года</c:v>
                </c:pt>
                <c:pt idx="2">
                  <c:v xml:space="preserve">I квартал 2023 года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46</c:v>
                </c:pt>
                <c:pt idx="1">
                  <c:v>57</c:v>
                </c:pt>
                <c:pt idx="2">
                  <c:v>30</c:v>
                </c:pt>
              </c:numCache>
            </c:numRef>
          </c:val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 xml:space="preserve">Другой способ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chemeClr val="accent1">
                    <a:lumMod val="20000"/>
                    <a:lumOff val="80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invertIfNegative val="0"/>
          <c:dLbls>
            <c:dLbl>
              <c:idx val="0"/>
              <c:layout>
                <c:manualLayout>
                  <c:x val="0.0011694616768782821"/>
                  <c:y val="0.0034105853289509575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1"/>
              <c:layout>
                <c:manualLayout>
                  <c:x val="-0.00052608196778946529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2"/>
              <c:layout>
                <c:manualLayout>
                  <c:x val="0.0013362993361650997"/>
                  <c:y val="0.0068211706579019097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dLbl>
              <c:idx val="3"/>
              <c:layout>
                <c:manualLayout>
                  <c:x val="0.010982976386600805"/>
                  <c:y val="0"/>
                </c:manualLayout>
              </c:layout>
              <c:showBubbleSize val="0"/>
              <c:showCatName val="0"/>
              <c:showLegendKey val="0"/>
              <c:showPercent val="0"/>
              <c:showSerName val="0"/>
              <c:showVal val="1"/>
            </c:dLbl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Лист1!$B$1:$D$1</c:f>
              <c:strCache>
                <c:ptCount val="3"/>
                <c:pt idx="0">
                  <c:v xml:space="preserve">I квартал 2021 года</c:v>
                </c:pt>
                <c:pt idx="1">
                  <c:v xml:space="preserve">I квартал 2022 года</c:v>
                </c:pt>
                <c:pt idx="2">
                  <c:v xml:space="preserve">I квартал 2023 года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36</c:v>
                </c:pt>
                <c:pt idx="1">
                  <c:v>53</c:v>
                </c:pt>
                <c:pt idx="2">
                  <c:v>39</c:v>
                </c:pt>
              </c:numCache>
            </c:numRef>
          </c:val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1"/>
        </c:dLbls>
        <c:gapWidth val="150"/>
        <c:overlap val="100"/>
        <c:axId val="93016448"/>
        <c:axId val="93017984"/>
      </c:barChart>
      <c:catAx>
        <c:axId val="9301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/>
                <a:cs typeface="Arial"/>
              </a:defRPr>
            </a:pPr>
            <a:endParaRPr lang="ru-RU"/>
          </a:p>
        </c:txPr>
        <c:crossAx val="93017984"/>
        <c:crosses val="autoZero"/>
        <c:auto val="1"/>
        <c:lblAlgn val="ctr"/>
        <c:lblOffset val="100"/>
        <c:noMultiLvlLbl val="0"/>
      </c:catAx>
      <c:valAx>
        <c:axId val="93017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930164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86743757171304"/>
          <c:y val="0.89064562380277035"/>
          <c:w val="0.61226496505038686"/>
          <c:h val="0.058195596262965263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ln>
      <a:noFill/>
    </a:ln>
  </c:spPr>
  <c:externalData r:id="rId2">
    <c:autoUpdate val="0"/>
  </c:externalData>
  <c:userShapes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11"/>
    </mc:Choice>
    <mc:Fallback>
      <c:style val="11"/>
    </mc:Fallback>
  </mc:AlternateContent>
  <c:chart>
    <c:title>
      <c:tx>
        <c:rich>
          <a:bodyPr/>
          <a:lstStyle/>
          <a:p>
            <a:pPr>
              <a:defRPr sz="1200">
                <a:latin typeface="Arial"/>
                <a:cs typeface="Arial"/>
              </a:defRPr>
            </a:pPr>
            <a:r>
              <a:rPr lang="ru-RU" sz="1200" b="1">
                <a:latin typeface="Arial"/>
                <a:cs typeface="Arial"/>
              </a:rPr>
              <a:t>Вопросы обращений граждан </a:t>
            </a:r>
            <a:endParaRPr lang="ru-RU" sz="1200">
              <a:latin typeface="Arial"/>
              <a:cs typeface="Arial"/>
            </a:endParaRPr>
          </a:p>
        </c:rich>
      </c:tx>
      <c:layout>
        <c:manualLayout>
          <c:xMode val="edge"/>
          <c:yMode val="edge"/>
          <c:x val="0.25877199312350102"/>
          <c:y val="0.01441663367498057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8441657750506194"/>
          <c:y val="0.19355093183184505"/>
          <c:w val="0.3672345862427574"/>
          <c:h val="0.6342832006334403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rgbClr val="4BACC6">
                    <a:lumMod val="75000"/>
                    <a:tint val="66000"/>
                    <a:satMod val="160000"/>
                  </a:srgbClr>
                </a:gs>
                <a:gs pos="50000">
                  <a:srgbClr val="4BACC6">
                    <a:lumMod val="75000"/>
                    <a:tint val="44500"/>
                    <a:satMod val="160000"/>
                  </a:srgbClr>
                </a:gs>
                <a:gs pos="100000">
                  <a:srgbClr val="4BACC6">
                    <a:lumMod val="75000"/>
                    <a:tint val="23500"/>
                    <a:satMod val="160000"/>
                  </a:srgbClr>
                </a:gs>
              </a:gsLst>
              <a:path path="circle"/>
            </a:gradFill>
            <a:effectLst>
              <a:innerShdw blurRad="63500" dist="50800" dir="162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 bwMode="auto">
              <a:prstGeom prst="rect">
                <a:avLst/>
              </a:prstGeom>
              <a:gradFill>
                <a:gsLst>
                  <a:gs pos="0">
                    <a:srgbClr val="4F81BD">
                      <a:lumMod val="40000"/>
                      <a:lumOff val="60000"/>
                      <a:shade val="30000"/>
                      <a:satMod val="115000"/>
                    </a:srgbClr>
                  </a:gs>
                  <a:gs pos="50000">
                    <a:srgbClr val="4F81BD">
                      <a:lumMod val="40000"/>
                      <a:lumOff val="60000"/>
                      <a:shade val="67500"/>
                      <a:satMod val="115000"/>
                    </a:srgbClr>
                  </a:gs>
                  <a:gs pos="100000">
                    <a:srgbClr val="4F81BD">
                      <a:lumMod val="40000"/>
                      <a:lumOff val="60000"/>
                      <a:shade val="100000"/>
                      <a:satMod val="115000"/>
                    </a:srgbClr>
                  </a:gs>
                </a:gsLst>
                <a:lin ang="10800000" scaled="1"/>
              </a:gra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Pt>
            <c:idx val="1"/>
            <c:bubble3D val="0"/>
            <c:explosion val="23"/>
            <c:spPr bwMode="auto">
              <a:prstGeom prst="rect">
                <a:avLst/>
              </a:prstGeom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innerShdw blurRad="63500" dist="50800" dir="16200000">
                  <a:prstClr val="black">
                    <a:alpha val="50000"/>
                  </a:prstClr>
                </a:innerShdw>
              </a:effectLst>
            </c:spPr>
          </c:dPt>
          <c:dLbl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txPr>
              <a:bodyPr/>
              <a:lstStyle/>
              <a:p>
                <a:pPr>
                  <a:defRPr sz="1000"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Лист1!$A$2:$A$3</c:f>
              <c:strCache>
                <c:ptCount val="2"/>
                <c:pt idx="0">
                  <c:v xml:space="preserve">Официальная статистическая информация</c:v>
                </c:pt>
                <c:pt idx="1">
                  <c:v xml:space="preserve">Другие вопросы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</c:v>
                </c:pt>
                <c:pt idx="1">
                  <c:v>50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1"/>
          <c:showSerName val="0"/>
          <c:showVal val="0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0.66488171997368262"/>
          <c:y val="0.11997595272657956"/>
          <c:w val="0.26613881638436593"/>
          <c:h val="0.6370109756326412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 bwMode="auto">
    <a:prstGeom prst="rect">
      <a:avLst/>
    </a:prstGeom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4="http://schemas.microsoft.com/office/drawing/2007/8/2/chart">
  <c:date1904 val="0"/>
  <c:lang val="ru-RU"/>
  <c:roundedCorners val="0"/>
  <mc:AlternateContent>
    <mc:Choice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400">
                <a:latin typeface="Arial"/>
                <a:cs typeface="Arial"/>
              </a:defRPr>
            </a:pPr>
            <a:r>
              <a:rPr lang="ru-RU" sz="1400">
                <a:latin typeface="Arial"/>
                <a:cs typeface="Arial"/>
              </a:rPr>
              <a:t>Результаты рассмотрения обращений</a:t>
            </a:r>
            <a:endParaRPr/>
          </a:p>
        </c:rich>
      </c:tx>
      <c:layout>
        <c:manualLayout>
          <c:xMode val="edge"/>
          <c:yMode val="edge"/>
          <c:x val="0.13530659891245383"/>
          <c:y val="0.023778972501502432"/>
        </c:manualLayout>
      </c:layout>
      <c:overlay val="0"/>
    </c:title>
    <c:autoTitleDeleted val="0"/>
    <c:view3D>
      <c:rotX val="4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0318754320592156"/>
          <c:y val="0.24454247779288174"/>
          <c:w val="0.50345047781926011"/>
          <c:h val="0.636354232829788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 bwMode="auto">
            <a:prstGeom prst="rect">
              <a:avLst/>
            </a:prstGeom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1"/>
            </a:gradFill>
            <a:ln>
              <a:noFill/>
            </a:ln>
            <a:effectLst/>
          </c:spPr>
          <c:dPt>
            <c:idx val="0"/>
            <c:bubble3D val="0"/>
            <c:explosion val="11"/>
            <c:spPr bwMode="auto">
              <a:prstGeom prst="rect">
                <a:avLst/>
              </a:prstGeom>
              <a:solidFill>
                <a:srgbClr val="4F81BD"/>
              </a:solidFill>
              <a:ln>
                <a:noFill/>
              </a:ln>
              <a:effectLst/>
            </c:spPr>
          </c:dPt>
          <c:dPt>
            <c:idx val="1"/>
            <c:bubble3D val="0"/>
            <c:explosion val="13"/>
            <c:spPr bwMode="auto">
              <a:prstGeom prst="rect">
                <a:avLst/>
              </a:prstGeom>
              <a:gradFill>
                <a:gsLst>
                  <a:gs pos="0">
                    <a:srgbClr val="8B8A82">
                      <a:tint val="66000"/>
                      <a:satMod val="160000"/>
                    </a:srgbClr>
                  </a:gs>
                  <a:gs pos="50000">
                    <a:srgbClr val="8B8A82">
                      <a:tint val="44500"/>
                      <a:satMod val="160000"/>
                    </a:srgbClr>
                  </a:gs>
                  <a:gs pos="100000">
                    <a:srgbClr val="8B8A82">
                      <a:tint val="23500"/>
                      <a:satMod val="160000"/>
                    </a:srgbClr>
                  </a:gs>
                </a:gsLst>
                <a:lin ang="5400000" scaled="1"/>
              </a:gradFill>
              <a:ln>
                <a:noFill/>
              </a:ln>
              <a:effectLst/>
            </c:spPr>
          </c:dPt>
          <c:dPt>
            <c:idx val="2"/>
            <c:bubble3D val="0"/>
            <c:explosion val="3"/>
            <c:spPr bwMode="auto">
              <a:prstGeom prst="rect">
                <a:avLst/>
              </a:prstGeom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1"/>
              </a:gradFill>
              <a:ln>
                <a:noFill/>
              </a:ln>
              <a:effectLst/>
            </c:spPr>
          </c:dPt>
          <c:dLbls>
            <c:dLblPos val="outEnd"/>
            <c:showBubbleSize val="0"/>
            <c:showCatName val="0"/>
            <c:showLeaderLines val="1"/>
            <c:showLegendKey val="0"/>
            <c:showPercent val="0"/>
            <c:showSerName val="0"/>
            <c:showVal val="1"/>
            <c:txPr>
              <a:bodyPr/>
              <a:lstStyle/>
              <a:p>
                <a:pPr>
                  <a:defRPr>
                    <a:latin typeface="Arial"/>
                    <a:cs typeface="Arial"/>
                  </a:defRPr>
                </a:pPr>
                <a:endParaRPr lang="ru-RU"/>
              </a:p>
            </c:txPr>
          </c:dLbls>
          <c:cat>
            <c:strRef>
              <c:f>Лист1!$A$2:$A$4</c:f>
              <c:strCache>
                <c:ptCount val="3"/>
                <c:pt idx="0">
                  <c:v xml:space="preserve">Предоставлена государственная услуга</c:v>
                </c:pt>
                <c:pt idx="1">
                  <c:v>Разъяснено</c:v>
                </c:pt>
                <c:pt idx="2">
                  <c:v xml:space="preserve">Поддержано, в т.ч.приняты меры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48</c:v>
                </c:pt>
                <c:pt idx="1">
                  <c:v>22</c:v>
                </c:pt>
                <c:pt idx="2">
                  <c:v>30</c:v>
                </c:pt>
              </c:numCache>
            </c:numRef>
          </c:val>
        </c:ser>
        <c:dLbls>
          <c:showBubbleSize val="0"/>
          <c:showCatName val="0"/>
          <c:showLeaderLines val="1"/>
          <c:showLegendKey val="0"/>
          <c:showPercent val="0"/>
          <c:showSerName val="0"/>
          <c:showVal val="1"/>
        </c:dLbls>
      </c:pie3DChart>
    </c:plotArea>
    <c:legend>
      <c:legendPos val="r"/>
      <c:layout>
        <c:manualLayout>
          <c:xMode val="edge"/>
          <c:yMode val="edge"/>
          <c:x val="0.59338916647883966"/>
          <c:y val="0.38208856473202496"/>
          <c:w val="0.34127440414044796"/>
          <c:h val="0.45804527887034491"/>
        </c:manualLayout>
      </c:layout>
      <c:overlay val="0"/>
      <c:txPr>
        <a:bodyPr/>
        <a:lstStyle/>
        <a:p>
          <a:pPr>
            <a:defRPr>
              <a:latin typeface="Arial"/>
              <a:cs typeface="Arial"/>
            </a:defRPr>
          </a:pPr>
          <a:endParaRPr lang="ru-RU"/>
        </a:p>
      </c:txPr>
    </c:legend>
    <c:plotVisOnly val="1"/>
    <c:dispBlanksAs val="zero"/>
    <c:showDLblsOverMax val="0"/>
  </c:chart>
  <c:spPr bwMode="auto">
    <a:prstGeom prst="rect">
      <a:avLst/>
    </a:prstGeom>
    <a:noFill/>
    <a:ln>
      <a:noFill/>
    </a:ln>
  </c:spPr>
  <c:externalData r:id="rId1">
    <c:autoUpdate val="0"/>
  </c:externalData>
</c:chartSpace>
</file>

<file path=word/drawings/_rels/.rels><?xml version="1.0" encoding="UTF-8" standalone="yes"?><Relationships xmlns="http://schemas.openxmlformats.org/package/2006/relationships"></Relationships>
</file>

<file path=word/drawings/drawing1.xml><?xml version="1.0" encoding="utf-8"?>
<c:userShapes xmlns:c="http://schemas.openxmlformats.org/drawingml/2006/chart" xmlns:cdr="http://schemas.openxmlformats.org/drawingml/2006/chartDrawing" xmlns:a="http://schemas.openxmlformats.org/drawingml/2006/main" xmlns:r="http://schemas.openxmlformats.org/officeDocument/2006/relationships">
  <cdr:relSizeAnchor>
    <cdr:from>
      <cdr:x>0.15403</cdr:x>
      <cdr:y>0.28410000000000002</cdr:y>
    </cdr:from>
    <cdr:to>
      <cdr:x>0.29093999999999998</cdr:x>
      <cdr:y>0.35454999999999998</cdr:y>
    </cdr:to>
    <cdr:sp>
      <cdr:nvSpPr>
        <cdr:cNvPr id="2" name="TextBox 1" hidden="0"/>
        <cdr:cNvSpPr txBox="1"/>
      </cdr:nvSpPr>
      <cdr:spPr bwMode="auto">
        <a:xfrm>
          <a:off x="964299" y="1029729"/>
          <a:ext cx="857120" cy="255373"/>
        </a:xfrm>
        <a:prstGeom prst="rect">
          <a:avLst/>
        </a:prstGeom>
      </cdr:spPr>
      <cdr:txBody>
        <a:bodyPr vertOverflow="clip" wrap="square" rtlCol="0"/>
        <a:lstStyle/>
        <a:p>
          <a:pPr>
            <a:defRPr/>
          </a:pPr>
          <a:r>
            <a:rPr lang="ru-RU" sz="1100">
              <a:latin typeface="Arial"/>
              <a:cs typeface="Arial"/>
            </a:rPr>
            <a:t>Всего 90</a:t>
          </a:r>
          <a:endParaRPr/>
        </a:p>
      </cdr:txBody>
    </cdr:sp>
  </cdr:relSizeAnchor>
  <cdr:relSizeAnchor>
    <cdr:from>
      <cdr:x>0.41337000000000002</cdr:x>
      <cdr:y>0.13636999999999999</cdr:y>
    </cdr:from>
    <cdr:to>
      <cdr:x>0.55027999999999999</cdr:x>
      <cdr:y>0.20227999999999999</cdr:y>
    </cdr:to>
    <cdr:sp>
      <cdr:nvSpPr>
        <cdr:cNvPr id="3" name="TextBox 1" hidden="0"/>
        <cdr:cNvSpPr txBox="1"/>
      </cdr:nvSpPr>
      <cdr:spPr bwMode="auto">
        <a:xfrm>
          <a:off x="2587888" y="494271"/>
          <a:ext cx="857120" cy="238897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pPr>
            <a:defRPr/>
          </a:pPr>
          <a:r>
            <a:rPr lang="ru-RU" sz="1100">
              <a:latin typeface="Arial"/>
              <a:cs typeface="Arial"/>
            </a:rPr>
            <a:t>Всего 123</a:t>
          </a:r>
          <a:endParaRPr/>
        </a:p>
      </cdr:txBody>
    </cdr:sp>
  </cdr:relSizeAnchor>
  <cdr:relSizeAnchor>
    <cdr:from>
      <cdr:x>0.66744000000000003</cdr:x>
      <cdr:y>0.20000000000000001</cdr:y>
    </cdr:from>
    <cdr:to>
      <cdr:x>0.80435999999999996</cdr:x>
      <cdr:y>0.26136999999999999</cdr:y>
    </cdr:to>
    <cdr:sp>
      <cdr:nvSpPr>
        <cdr:cNvPr id="4" name="TextBox 1" hidden="0"/>
        <cdr:cNvSpPr txBox="1"/>
      </cdr:nvSpPr>
      <cdr:spPr bwMode="auto">
        <a:xfrm>
          <a:off x="4178485" y="724930"/>
          <a:ext cx="857183" cy="222420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pPr>
            <a:defRPr/>
          </a:pPr>
          <a:r>
            <a:rPr lang="ru-RU" sz="1100">
              <a:latin typeface="Arial"/>
              <a:cs typeface="Arial"/>
            </a:rPr>
            <a:t>Всего 107</a:t>
          </a:r>
          <a:endParaRPr/>
        </a:p>
      </cdr:txBody>
    </cdr:sp>
  </cdr:relSizeAnchor>
</c:userShapes>
</file>

<file path=word/drawings/drawing2.xml><?xml version="1.0" encoding="utf-8"?>
<c:userShapes xmlns:c="http://schemas.openxmlformats.org/drawingml/2006/chart" xmlns:cdr="http://schemas.openxmlformats.org/drawingml/2006/chartDrawing" xmlns:a="http://schemas.openxmlformats.org/drawingml/2006/main" xmlns:r="http://schemas.openxmlformats.org/officeDocument/2006/relationships">
  <cdr:relSizeAnchor>
    <cdr:from>
      <cdr:x>0.15403</cdr:x>
      <cdr:y>0.28981000000000001</cdr:y>
    </cdr:from>
    <cdr:to>
      <cdr:x>0.29093999999999998</cdr:x>
      <cdr:y>0.34511999999999998</cdr:y>
    </cdr:to>
    <cdr:sp>
      <cdr:nvSpPr>
        <cdr:cNvPr id="2" name="TextBox 1" hidden="0"/>
        <cdr:cNvSpPr txBox="1"/>
      </cdr:nvSpPr>
      <cdr:spPr bwMode="auto">
        <a:xfrm>
          <a:off x="963810" y="1079157"/>
          <a:ext cx="856686" cy="205946"/>
        </a:xfrm>
        <a:prstGeom prst="rect">
          <a:avLst/>
        </a:prstGeom>
      </cdr:spPr>
      <cdr:txBody>
        <a:bodyPr vertOverflow="clip" wrap="square" rtlCol="0"/>
        <a:lstStyle/>
        <a:p>
          <a:pPr>
            <a:defRPr/>
          </a:pPr>
          <a:r>
            <a:rPr lang="ru-RU" sz="1100">
              <a:latin typeface="Arial"/>
              <a:cs typeface="Arial"/>
            </a:rPr>
            <a:t>Всего 90</a:t>
          </a:r>
          <a:endParaRPr/>
        </a:p>
      </cdr:txBody>
    </cdr:sp>
  </cdr:relSizeAnchor>
  <cdr:relSizeAnchor>
    <cdr:from>
      <cdr:x>0.41337000000000002</cdr:x>
      <cdr:y>0.13938</cdr:y>
    </cdr:from>
    <cdr:to>
      <cdr:x>0.55027999999999999</cdr:x>
      <cdr:y>0.19689999999999999</cdr:y>
    </cdr:to>
    <cdr:sp>
      <cdr:nvSpPr>
        <cdr:cNvPr id="3" name="TextBox 1" hidden="0"/>
        <cdr:cNvSpPr txBox="1"/>
      </cdr:nvSpPr>
      <cdr:spPr bwMode="auto">
        <a:xfrm>
          <a:off x="2586576" y="518985"/>
          <a:ext cx="856686" cy="214183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pPr>
            <a:defRPr/>
          </a:pPr>
          <a:r>
            <a:rPr lang="ru-RU" sz="1100">
              <a:latin typeface="Arial"/>
              <a:cs typeface="Arial"/>
            </a:rPr>
            <a:t>Всего 123</a:t>
          </a:r>
          <a:endParaRPr/>
        </a:p>
      </cdr:txBody>
    </cdr:sp>
  </cdr:relSizeAnchor>
  <cdr:relSizeAnchor>
    <cdr:from>
      <cdr:x>0.66613</cdr:x>
      <cdr:y>0.18362000000000001</cdr:y>
    </cdr:from>
    <cdr:to>
      <cdr:x>0.80303999999999998</cdr:x>
      <cdr:y>0.26105</cdr:y>
    </cdr:to>
    <cdr:sp>
      <cdr:nvSpPr>
        <cdr:cNvPr id="4" name="TextBox 1" hidden="0"/>
        <cdr:cNvSpPr txBox="1"/>
      </cdr:nvSpPr>
      <cdr:spPr bwMode="auto">
        <a:xfrm>
          <a:off x="4168169" y="683741"/>
          <a:ext cx="856685" cy="288324"/>
        </a:xfrm>
        <a:prstGeom prst="rect">
          <a:avLst/>
        </a:prstGeom>
      </cdr:spPr>
      <cdr:txBody>
        <a:bodyPr wrap="square" rtlCol="0"/>
        <a:lstStyle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>
          <a:pPr>
            <a:defRPr/>
          </a:pPr>
          <a:r>
            <a:rPr lang="ru-RU" sz="1100">
              <a:latin typeface="Arial"/>
              <a:cs typeface="Arial"/>
            </a:rPr>
            <a:t>Всего 107</a:t>
          </a:r>
          <a:endParaRPr/>
        </a:p>
      </cdr:txBody>
    </cdr:sp>
  </cdr:relSizeAnchor>
</c:userShape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C22A38ED-4C9E-4BCF-B0A6-7A7A6652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Березовская С.И., Заместитель руководителя</cp:lastModifiedBy>
  <cp:revision>39</cp:revision>
  <dcterms:created xsi:type="dcterms:W3CDTF">2021-04-13T04:51:00Z</dcterms:created>
  <dcterms:modified xsi:type="dcterms:W3CDTF">2023-04-13T07:10:26Z</dcterms:modified>
</cp:coreProperties>
</file>